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FA5" w:rsidRPr="000D7FA5" w:rsidRDefault="000D7FA5" w:rsidP="000D7FA5">
      <w:pPr>
        <w:spacing w:after="150" w:line="240" w:lineRule="auto"/>
        <w:outlineLvl w:val="1"/>
        <w:rPr>
          <w:rFonts w:asciiTheme="minorBidi" w:eastAsia="Times New Roman" w:hAnsiTheme="minorBidi"/>
          <w:b/>
          <w:bCs/>
          <w:color w:val="012D6B"/>
          <w:sz w:val="28"/>
          <w:szCs w:val="28"/>
          <w:lang w:eastAsia="ja-JP"/>
        </w:rPr>
      </w:pPr>
      <w:bookmarkStart w:id="0" w:name="_GoBack"/>
      <w:r w:rsidRPr="000D7FA5">
        <w:rPr>
          <w:rFonts w:asciiTheme="minorBidi" w:eastAsia="Times New Roman" w:hAnsiTheme="minorBidi"/>
          <w:b/>
          <w:bCs/>
          <w:color w:val="012D6B"/>
          <w:sz w:val="28"/>
          <w:szCs w:val="28"/>
          <w:rtl/>
          <w:lang w:eastAsia="ja-JP"/>
        </w:rPr>
        <w:t>أسلحة الداعية</w:t>
      </w:r>
    </w:p>
    <w:p w:rsidR="000D7FA5" w:rsidRPr="000B7F38" w:rsidRDefault="000D7FA5" w:rsidP="00613511">
      <w:pPr>
        <w:jc w:val="both"/>
        <w:rPr>
          <w:rFonts w:asciiTheme="minorBidi" w:hAnsiTheme="minorBidi"/>
          <w:sz w:val="28"/>
          <w:szCs w:val="28"/>
          <w:rtl/>
        </w:rPr>
      </w:pPr>
      <w:r w:rsidRPr="000B7F38">
        <w:rPr>
          <w:rFonts w:asciiTheme="minorBidi" w:eastAsia="Times New Roman" w:hAnsiTheme="minorBidi"/>
          <w:color w:val="757575"/>
          <w:sz w:val="28"/>
          <w:szCs w:val="28"/>
          <w:lang w:eastAsia="ja-JP"/>
        </w:rPr>
        <w:br/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الوعظ والتذكير من أشرف الوظائف التي يمكن أن يشتغل بها عبد من عباد الله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وكيف لا يكون كذلك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وهو وظيفة الأنبياء والمرسلين الذين اختصهم الله –عز وجل- بهذا الفضل المبين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فالدعوة وظيفة أشرف البشر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وكذا أتباعهم من المؤمنين الذين أحبوا دعوة الرسل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وآمنوا بها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وبذلوا ما يملكون في سبيل نشرها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قال -تعالى- آمرًا رسوله محمدًا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hAnsiTheme="minorBidi" w:hint="cs"/>
          <w:color w:val="424142"/>
          <w:sz w:val="28"/>
          <w:szCs w:val="28"/>
          <w:shd w:val="clear" w:color="auto" w:fill="FFFFFF"/>
          <w:rtl/>
        </w:rPr>
        <w:t>: "</w:t>
      </w:r>
      <w:r w:rsidRPr="000B7F38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قُلْ هَذِهِ سَبِيلِي أَدْعُو إِلَى اللَّهِ عَلَى بَصِيرَةٍ أَنَا وَمَنِ اتَّبَعَنِي وَسُبْحَانَ اللَّهِ وَمَا أَنَا مِنَ الْمُشْرِكِينَ</w:t>
      </w:r>
      <w:r w:rsidRPr="000B7F38">
        <w:rPr>
          <w:rFonts w:asciiTheme="minorBidi" w:hAnsiTheme="minorBidi" w:hint="cs"/>
          <w:color w:val="424142"/>
          <w:sz w:val="28"/>
          <w:szCs w:val="28"/>
          <w:shd w:val="clear" w:color="auto" w:fill="FFFFFF"/>
          <w:rtl/>
        </w:rPr>
        <w:t>" (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يوسف:</w:t>
      </w:r>
      <w:r w:rsidRPr="000B7F38">
        <w:rPr>
          <w:rFonts w:asciiTheme="minorBidi" w:hAnsiTheme="minorBidi" w:hint="cs"/>
          <w:color w:val="424142"/>
          <w:sz w:val="28"/>
          <w:szCs w:val="28"/>
          <w:shd w:val="clear" w:color="auto" w:fill="FFFFFF"/>
          <w:rtl/>
        </w:rPr>
        <w:t xml:space="preserve"> 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108</w:t>
      </w:r>
      <w:r w:rsidRPr="000B7F38">
        <w:rPr>
          <w:rFonts w:asciiTheme="minorBidi" w:hAnsiTheme="minorBidi" w:hint="cs"/>
          <w:color w:val="424142"/>
          <w:sz w:val="28"/>
          <w:szCs w:val="28"/>
          <w:shd w:val="clear" w:color="auto" w:fill="FFFFFF"/>
          <w:rtl/>
        </w:rPr>
        <w:t>)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</w:rPr>
        <w:t xml:space="preserve"> 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وقال سفيان الثوري -رحمه الله-: </w:t>
      </w:r>
      <w:r w:rsidRPr="000B7F38">
        <w:rPr>
          <w:rFonts w:asciiTheme="minorBidi" w:hAnsiTheme="minorBidi" w:hint="cs"/>
          <w:color w:val="FF0000"/>
          <w:sz w:val="28"/>
          <w:szCs w:val="28"/>
          <w:shd w:val="clear" w:color="auto" w:fill="FFFFFF"/>
          <w:rtl/>
        </w:rPr>
        <w:t>(</w:t>
      </w:r>
      <w:r w:rsidRPr="000B7F38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أشرف الناس منزلة من كان بين الله بين عباده</w:t>
      </w:r>
      <w:r w:rsidRPr="000B7F38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وهم الأنبياء والعلماء</w:t>
      </w:r>
      <w:r w:rsidRPr="000B7F38">
        <w:rPr>
          <w:rFonts w:asciiTheme="minorBidi" w:hAnsiTheme="minorBidi" w:hint="cs"/>
          <w:color w:val="FF0000"/>
          <w:sz w:val="28"/>
          <w:szCs w:val="28"/>
          <w:shd w:val="clear" w:color="auto" w:fill="FFFFFF"/>
          <w:rtl/>
        </w:rPr>
        <w:t>)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،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 وقال بعضهم: </w:t>
      </w:r>
      <w:r w:rsidRPr="000B7F38">
        <w:rPr>
          <w:rFonts w:asciiTheme="minorBidi" w:hAnsiTheme="minorBidi" w:hint="cs"/>
          <w:color w:val="FF0000"/>
          <w:sz w:val="28"/>
          <w:szCs w:val="28"/>
          <w:shd w:val="clear" w:color="auto" w:fill="FFFFFF"/>
          <w:rtl/>
        </w:rPr>
        <w:t>(</w:t>
      </w:r>
      <w:r w:rsidRPr="000B7F38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إذا أردت أن تعرف مقامك فانظر أين أقامك</w:t>
      </w:r>
      <w:r w:rsidRPr="000B7F38">
        <w:rPr>
          <w:rFonts w:asciiTheme="minorBidi" w:hAnsiTheme="minorBidi" w:hint="cs"/>
          <w:color w:val="FF0000"/>
          <w:sz w:val="28"/>
          <w:szCs w:val="28"/>
          <w:shd w:val="clear" w:color="auto" w:fill="FFFFFF"/>
          <w:rtl/>
        </w:rPr>
        <w:t>)</w:t>
      </w:r>
      <w:r w:rsidRPr="000B7F38">
        <w:rPr>
          <w:rFonts w:asciiTheme="minorBidi" w:hAnsiTheme="minorBidi" w:hint="cs"/>
          <w:color w:val="424142"/>
          <w:sz w:val="28"/>
          <w:szCs w:val="28"/>
          <w:shd w:val="clear" w:color="auto" w:fill="FFFFFF"/>
          <w:rtl/>
        </w:rPr>
        <w:t>.</w:t>
      </w:r>
    </w:p>
    <w:p w:rsidR="000D7FA5" w:rsidRPr="000B7F38" w:rsidRDefault="000D7FA5" w:rsidP="000D7FA5">
      <w:pPr>
        <w:spacing w:after="0" w:line="473" w:lineRule="atLeast"/>
        <w:jc w:val="both"/>
        <w:rPr>
          <w:rFonts w:asciiTheme="minorBidi" w:eastAsia="Times New Roman" w:hAnsiTheme="minorBidi"/>
          <w:color w:val="424142"/>
          <w:sz w:val="28"/>
          <w:szCs w:val="28"/>
          <w:rtl/>
        </w:rPr>
      </w:pPr>
    </w:p>
    <w:p w:rsidR="00940C93" w:rsidRPr="000B7F38" w:rsidRDefault="00940C93" w:rsidP="000D7FA5">
      <w:pPr>
        <w:spacing w:after="0" w:line="473" w:lineRule="atLeast"/>
        <w:jc w:val="both"/>
        <w:rPr>
          <w:rFonts w:asciiTheme="minorBidi" w:eastAsia="Times New Roman" w:hAnsiTheme="minorBidi"/>
          <w:sz w:val="28"/>
          <w:szCs w:val="28"/>
        </w:rPr>
      </w:pP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وحتى تنجح دعوة الدعاة لا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بد لهم من أسلحة يتسلحون بها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فما هي أسلحة الداعية التي تتم بها مهمته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وتنجو بها</w:t>
      </w:r>
      <w:r w:rsidRPr="000B7F38">
        <w:rPr>
          <w:rFonts w:asciiTheme="minorBidi" w:eastAsia="Times New Roman" w:hAnsiTheme="minorBidi"/>
          <w:sz w:val="28"/>
          <w:szCs w:val="28"/>
          <w:rtl/>
        </w:rPr>
        <w:t xml:space="preserve"> دعوته؟؟</w:t>
      </w:r>
    </w:p>
    <w:p w:rsidR="000D7FA5" w:rsidRPr="000B7F38" w:rsidRDefault="000D7FA5" w:rsidP="000D7FA5">
      <w:pPr>
        <w:spacing w:after="0" w:line="473" w:lineRule="atLeast"/>
        <w:jc w:val="both"/>
        <w:rPr>
          <w:rFonts w:asciiTheme="minorBidi" w:eastAsia="Times New Roman" w:hAnsiTheme="minorBidi"/>
          <w:sz w:val="28"/>
          <w:szCs w:val="28"/>
          <w:rtl/>
        </w:rPr>
      </w:pPr>
    </w:p>
    <w:p w:rsidR="003B019F" w:rsidRPr="000B7F38" w:rsidRDefault="00940C93" w:rsidP="000D7FA5">
      <w:pPr>
        <w:pStyle w:val="ListParagraph"/>
        <w:numPr>
          <w:ilvl w:val="0"/>
          <w:numId w:val="1"/>
        </w:numPr>
        <w:spacing w:after="0" w:line="473" w:lineRule="atLeast"/>
        <w:jc w:val="both"/>
        <w:rPr>
          <w:rFonts w:asciiTheme="minorBidi" w:eastAsia="Times New Roman" w:hAnsiTheme="minorBidi"/>
          <w:sz w:val="28"/>
          <w:szCs w:val="28"/>
          <w:rtl/>
        </w:rPr>
      </w:pPr>
      <w:r w:rsidRPr="000B7F38">
        <w:rPr>
          <w:rFonts w:asciiTheme="minorBidi" w:eastAsia="Times New Roman" w:hAnsiTheme="minorBidi"/>
          <w:sz w:val="28"/>
          <w:szCs w:val="28"/>
          <w:rtl/>
        </w:rPr>
        <w:t>الإخلاص:</w:t>
      </w:r>
    </w:p>
    <w:p w:rsidR="00940C93" w:rsidRPr="000B7F38" w:rsidRDefault="00940C93" w:rsidP="000D7FA5">
      <w:pPr>
        <w:spacing w:after="0" w:line="473" w:lineRule="atLeast"/>
        <w:jc w:val="both"/>
        <w:rPr>
          <w:rFonts w:asciiTheme="minorBidi" w:eastAsia="Times New Roman" w:hAnsiTheme="minorBidi"/>
          <w:color w:val="424142"/>
          <w:sz w:val="28"/>
          <w:szCs w:val="28"/>
          <w:rtl/>
        </w:rPr>
      </w:pP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وهو أنفع سلاح وأمضاه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فينبغي أن يكون الدافع الوحيد للداعية هو التقرب إلى الله -عز وجل-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وابتغاء وجهه كما أشار إليه قوله -تعالى-: 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Pr="000B7F38">
        <w:rPr>
          <w:rFonts w:asciiTheme="minorBidi" w:eastAsia="Times New Roman" w:hAnsiTheme="minorBidi"/>
          <w:color w:val="0000FF"/>
          <w:sz w:val="28"/>
          <w:szCs w:val="28"/>
          <w:rtl/>
        </w:rPr>
        <w:t>قُلْ هَذِهِ سَبِيلِي أَدْعُو إِلَى اللَّهِ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 (يوسف: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108)</w:t>
      </w:r>
      <w:r w:rsidR="003B019F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.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فلا تكون دعوته عصبية لجماعة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أو هيئة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أو يدعو لنفسه لا يدعو إلى الله</w:t>
      </w:r>
      <w:r w:rsidR="003B019F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.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وبمقدار إخلاص الداعية في دعوته يكتب له القبول والبقاء والنفع في الدنيا والآخرة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فما كان لله دام واتصل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وما كان لغير الله انقطع وانفصل</w:t>
      </w:r>
      <w:r w:rsidR="003B019F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.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وقد سمعنا وشاهدنا كثيرًا من الدعاة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وكثيرًا من الدعوات اندثرت فما بقي لها أثر ولا لأصحابها من خبر: 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Pr="000B7F38">
        <w:rPr>
          <w:rFonts w:asciiTheme="minorBidi" w:eastAsia="Times New Roman" w:hAnsiTheme="minorBidi"/>
          <w:color w:val="0000FF"/>
          <w:sz w:val="28"/>
          <w:szCs w:val="28"/>
          <w:rtl/>
        </w:rPr>
        <w:t>هَلْ تُحِسُّ مِنْهُمْ مِنْ أَحَدٍ أَوْ تَسْمَعُ لَهُمْ رِكْزًا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="003B019F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(مريم: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98).</w:t>
      </w:r>
    </w:p>
    <w:p w:rsidR="00940C93" w:rsidRPr="000B7F38" w:rsidRDefault="00940C93" w:rsidP="000D7FA5">
      <w:pPr>
        <w:spacing w:after="0" w:line="240" w:lineRule="auto"/>
        <w:jc w:val="both"/>
        <w:rPr>
          <w:rFonts w:asciiTheme="minorBidi" w:eastAsia="Times New Roman" w:hAnsiTheme="minorBidi"/>
          <w:color w:val="424142"/>
          <w:sz w:val="28"/>
          <w:szCs w:val="28"/>
          <w:rtl/>
        </w:rPr>
      </w:pP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 </w:t>
      </w:r>
    </w:p>
    <w:p w:rsidR="00940C93" w:rsidRPr="000B7F38" w:rsidRDefault="00940C93" w:rsidP="00613511">
      <w:pPr>
        <w:jc w:val="both"/>
        <w:rPr>
          <w:rFonts w:asciiTheme="minorBidi" w:hAnsiTheme="minorBidi"/>
          <w:sz w:val="28"/>
          <w:szCs w:val="28"/>
          <w:rtl/>
        </w:rPr>
      </w:pP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والدعوة إلى الله -عز وجل- عبادة يشترط لها ما يشترط لسائر العبادات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="003B019F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وهو الإخلاص؛ قال -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تعالى-: 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Pr="000B7F38">
        <w:rPr>
          <w:rFonts w:asciiTheme="minorBidi" w:eastAsia="Times New Roman" w:hAnsiTheme="minorBidi"/>
          <w:color w:val="0000FF"/>
          <w:sz w:val="28"/>
          <w:szCs w:val="28"/>
          <w:rtl/>
        </w:rPr>
        <w:t>أَلا لِلَّهِ الدِّينُ الْخَالِصُ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 (الزمر: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3)</w:t>
      </w:r>
      <w:r w:rsidR="003C33E4"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،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 وقال النبي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 xml:space="preserve">: 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Pr="000B7F38">
        <w:rPr>
          <w:rFonts w:asciiTheme="minorBidi" w:eastAsia="Times New Roman" w:hAnsiTheme="minorBidi"/>
          <w:color w:val="008000"/>
          <w:sz w:val="28"/>
          <w:szCs w:val="28"/>
          <w:rtl/>
        </w:rPr>
        <w:t>إِنَّ اللَّهَ لاَ يَقْبَلُ مِنَ الْعَمَلِ إِلاَّ مَا كَانَ لَهُ خَالِصًا وَابْتُغِيَ بِهِ وَجْهُهُ</w:t>
      </w:r>
      <w:r w:rsidR="000D7FA5" w:rsidRPr="000B7F38">
        <w:rPr>
          <w:rFonts w:asciiTheme="minorBidi" w:eastAsia="Times New Roman" w:hAnsiTheme="minorBidi" w:hint="cs"/>
          <w:color w:val="424142"/>
          <w:sz w:val="28"/>
          <w:szCs w:val="28"/>
          <w:rtl/>
        </w:rPr>
        <w:t>"</w:t>
      </w:r>
      <w:r w:rsidR="003B019F" w:rsidRPr="000B7F38">
        <w:rPr>
          <w:rStyle w:val="FootnoteReference"/>
          <w:rFonts w:asciiTheme="minorBidi" w:eastAsia="Times New Roman" w:hAnsiTheme="minorBidi"/>
          <w:color w:val="424142"/>
          <w:sz w:val="28"/>
          <w:szCs w:val="28"/>
          <w:rtl/>
        </w:rPr>
        <w:footnoteReference w:id="1"/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</w:rPr>
        <w:t>.</w:t>
      </w:r>
    </w:p>
    <w:p w:rsidR="00566865" w:rsidRPr="000B7F38" w:rsidRDefault="00566865" w:rsidP="000D7FA5">
      <w:pPr>
        <w:jc w:val="both"/>
        <w:rPr>
          <w:rFonts w:asciiTheme="minorBidi" w:hAnsiTheme="minorBidi"/>
          <w:sz w:val="28"/>
          <w:szCs w:val="28"/>
          <w:rtl/>
        </w:rPr>
      </w:pPr>
    </w:p>
    <w:p w:rsidR="003B019F" w:rsidRPr="000B7F38" w:rsidRDefault="003B019F" w:rsidP="000D7FA5">
      <w:pPr>
        <w:pStyle w:val="ListParagraph"/>
        <w:numPr>
          <w:ilvl w:val="0"/>
          <w:numId w:val="1"/>
        </w:numPr>
        <w:jc w:val="both"/>
        <w:rPr>
          <w:rFonts w:asciiTheme="minorBidi" w:hAnsiTheme="minorBidi"/>
          <w:sz w:val="28"/>
          <w:szCs w:val="28"/>
          <w:shd w:val="clear" w:color="auto" w:fill="FFFFFF"/>
          <w:rtl/>
        </w:rPr>
      </w:pPr>
      <w:r w:rsidRPr="000B7F38">
        <w:rPr>
          <w:rFonts w:asciiTheme="minorBidi" w:hAnsiTheme="minorBidi"/>
          <w:sz w:val="28"/>
          <w:szCs w:val="28"/>
          <w:shd w:val="clear" w:color="auto" w:fill="FFFFFF"/>
          <w:rtl/>
        </w:rPr>
        <w:t>صحة العقيدة وسلامة الفهم</w:t>
      </w:r>
      <w:r w:rsidRPr="000B7F38">
        <w:rPr>
          <w:rFonts w:asciiTheme="minorBidi" w:hAnsiTheme="minorBidi"/>
          <w:sz w:val="28"/>
          <w:szCs w:val="28"/>
          <w:shd w:val="clear" w:color="auto" w:fill="FFFFFF"/>
        </w:rPr>
        <w:t>:</w:t>
      </w:r>
    </w:p>
    <w:p w:rsidR="003B019F" w:rsidRPr="000B7F38" w:rsidRDefault="003B019F" w:rsidP="000D7FA5">
      <w:pPr>
        <w:jc w:val="both"/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</w:pPr>
      <w:r w:rsidRPr="000B7F38">
        <w:rPr>
          <w:rFonts w:asciiTheme="minorBidi" w:hAnsiTheme="minorBidi"/>
          <w:sz w:val="28"/>
          <w:szCs w:val="28"/>
          <w:shd w:val="clear" w:color="auto" w:fill="FFFFFF"/>
          <w:rtl/>
        </w:rPr>
        <w:t>فلا</w:t>
      </w:r>
      <w:r w:rsidR="000D7FA5" w:rsidRPr="000B7F38">
        <w:rPr>
          <w:rFonts w:asciiTheme="minorBidi" w:hAnsiTheme="minorBidi" w:hint="cs"/>
          <w:sz w:val="28"/>
          <w:szCs w:val="28"/>
          <w:shd w:val="clear" w:color="auto" w:fill="FFFFFF"/>
          <w:rtl/>
        </w:rPr>
        <w:t xml:space="preserve"> </w:t>
      </w:r>
      <w:r w:rsidRPr="000B7F38">
        <w:rPr>
          <w:rFonts w:asciiTheme="minorBidi" w:hAnsiTheme="minorBidi"/>
          <w:sz w:val="28"/>
          <w:szCs w:val="28"/>
          <w:shd w:val="clear" w:color="auto" w:fill="FFFFFF"/>
          <w:rtl/>
        </w:rPr>
        <w:t>بد أ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ن يكون الداعية مهتديًا إلى الحق، وإلا ففاقد الشيء لا يعطيه، والعقيدة الصحيحة هي عقيدة السلف الصالح -رضي الله عنهم-؛ قال تعالى: "</w:t>
      </w:r>
      <w:r w:rsidRPr="000B7F38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فَإِنْ آمَنُوا بِمِثْلِ مَا آمَنْتُمْ بِهِ فَقَدِ اهْتَدَوْا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" (البقرة:</w:t>
      </w:r>
      <w:r w:rsidR="000D7FA5" w:rsidRPr="000B7F38">
        <w:rPr>
          <w:rFonts w:asciiTheme="minorBidi" w:hAnsiTheme="minorBidi" w:hint="cs"/>
          <w:color w:val="424142"/>
          <w:sz w:val="28"/>
          <w:szCs w:val="28"/>
          <w:shd w:val="clear" w:color="auto" w:fill="FFFFFF"/>
          <w:rtl/>
        </w:rPr>
        <w:t xml:space="preserve"> 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137).</w:t>
      </w:r>
    </w:p>
    <w:p w:rsidR="003B019F" w:rsidRPr="000B7F38" w:rsidRDefault="003B019F" w:rsidP="00613511">
      <w:pPr>
        <w:jc w:val="both"/>
        <w:rPr>
          <w:rFonts w:asciiTheme="minorBidi" w:hAnsiTheme="minorBidi"/>
          <w:sz w:val="28"/>
          <w:szCs w:val="28"/>
          <w:rtl/>
        </w:rPr>
      </w:pP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lastRenderedPageBreak/>
        <w:t xml:space="preserve">وقال رسول الله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: "</w:t>
      </w:r>
      <w:r w:rsidRPr="000B7F38">
        <w:rPr>
          <w:rFonts w:asciiTheme="minorBidi" w:hAnsiTheme="minorBidi"/>
          <w:color w:val="008000"/>
          <w:sz w:val="28"/>
          <w:szCs w:val="28"/>
          <w:shd w:val="clear" w:color="auto" w:fill="FFFFFF"/>
          <w:rtl/>
        </w:rPr>
        <w:t>فَعَلَيْكُمْ بِسُنَّتِي وَسُنَّةِ الْخُلَفَاءِ الْمَهْدِيِّينَ الرَّاشِدِينَ تَمَسَّكُوا بِهَا وَعَضُّوا عَلَيْهَا بِالنَّوَاجِذِ</w:t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>"</w:t>
      </w:r>
      <w:r w:rsidRPr="000B7F38">
        <w:rPr>
          <w:rStyle w:val="FootnoteReference"/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footnoteReference w:id="2"/>
      </w:r>
      <w:r w:rsidRPr="000B7F38">
        <w:rPr>
          <w:rFonts w:asciiTheme="minorBidi" w:hAnsiTheme="minorBidi"/>
          <w:color w:val="424142"/>
          <w:sz w:val="28"/>
          <w:szCs w:val="28"/>
          <w:shd w:val="clear" w:color="auto" w:fill="FFFFFF"/>
          <w:rtl/>
        </w:rPr>
        <w:t xml:space="preserve">. </w:t>
      </w:r>
    </w:p>
    <w:p w:rsidR="000D7FA5" w:rsidRPr="000B7F38" w:rsidRDefault="000D7FA5" w:rsidP="000D7FA5">
      <w:pPr>
        <w:pStyle w:val="ListParagraph"/>
        <w:numPr>
          <w:ilvl w:val="0"/>
          <w:numId w:val="1"/>
        </w:numPr>
        <w:spacing w:after="0" w:line="473" w:lineRule="atLeast"/>
        <w:jc w:val="both"/>
        <w:rPr>
          <w:rFonts w:asciiTheme="minorBidi" w:eastAsia="Times New Roman" w:hAnsiTheme="minorBidi"/>
          <w:sz w:val="28"/>
          <w:szCs w:val="28"/>
          <w:lang w:eastAsia="ja-JP"/>
        </w:rPr>
      </w:pP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العلم والبصيرة:</w:t>
      </w:r>
    </w:p>
    <w:p w:rsidR="000D7FA5" w:rsidRPr="000B7F38" w:rsidRDefault="000D7FA5" w:rsidP="000D7FA5">
      <w:pPr>
        <w:spacing w:after="0" w:line="473" w:lineRule="atLeast"/>
        <w:jc w:val="both"/>
        <w:rPr>
          <w:rFonts w:asciiTheme="minorBidi" w:eastAsia="Times New Roman" w:hAnsiTheme="minorBidi"/>
          <w:color w:val="424142"/>
          <w:sz w:val="28"/>
          <w:szCs w:val="28"/>
          <w:lang w:eastAsia="ja-JP"/>
        </w:rPr>
      </w:pP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 xml:space="preserve">كما في قوله - تعالى-: 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0000FF"/>
          <w:sz w:val="28"/>
          <w:szCs w:val="28"/>
          <w:rtl/>
          <w:lang w:eastAsia="ja-JP"/>
        </w:rPr>
        <w:t>أَدْعُو إِلَى اللَّهِ عَلَى بَصِيرَةٍ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> (يوسف: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 xml:space="preserve">108)، والدعوة إلى الله -عز وجل- عمل، والعلم قبل القول والعمل؛ قال الله -عز وجل-: 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0000FF"/>
          <w:sz w:val="28"/>
          <w:szCs w:val="28"/>
          <w:rtl/>
          <w:lang w:eastAsia="ja-JP"/>
        </w:rPr>
        <w:t>فَاعْلَمْ أَنَّهُ لا إِلَهَ إِلا اللَّهُ وَاسْتَغْفِرْ لِذَنْبِكَ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> (محمد: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 xml:space="preserve"> 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>19)، فبدأ بالعلم.</w:t>
      </w:r>
    </w:p>
    <w:p w:rsidR="000D7FA5" w:rsidRPr="000D7FA5" w:rsidRDefault="000D7FA5" w:rsidP="000D7FA5">
      <w:pPr>
        <w:spacing w:after="0" w:line="473" w:lineRule="atLeast"/>
        <w:jc w:val="both"/>
        <w:rPr>
          <w:rFonts w:asciiTheme="minorBidi" w:eastAsia="Times New Roman" w:hAnsiTheme="minorBidi"/>
          <w:sz w:val="28"/>
          <w:szCs w:val="28"/>
          <w:rtl/>
          <w:lang w:eastAsia="ja-JP"/>
        </w:rPr>
      </w:pP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>وقال معاذ: </w:t>
      </w:r>
      <w:r w:rsidRPr="000B7F38">
        <w:rPr>
          <w:rFonts w:asciiTheme="minorBidi" w:eastAsia="Times New Roman" w:hAnsiTheme="minorBidi" w:hint="cs"/>
          <w:color w:val="FF0000"/>
          <w:sz w:val="28"/>
          <w:szCs w:val="28"/>
          <w:rtl/>
          <w:lang w:eastAsia="ja-JP"/>
        </w:rPr>
        <w:t>(</w:t>
      </w:r>
      <w:r w:rsidRPr="000D7FA5">
        <w:rPr>
          <w:rFonts w:asciiTheme="minorBidi" w:eastAsia="Times New Roman" w:hAnsiTheme="minorBidi"/>
          <w:color w:val="FF0000"/>
          <w:sz w:val="28"/>
          <w:szCs w:val="28"/>
          <w:rtl/>
          <w:lang w:eastAsia="ja-JP"/>
        </w:rPr>
        <w:t>العلم أمام العمل والعمل تابعه</w:t>
      </w:r>
      <w:r w:rsidRPr="000B7F38">
        <w:rPr>
          <w:rFonts w:asciiTheme="minorBidi" w:eastAsia="Times New Roman" w:hAnsiTheme="minorBidi" w:hint="cs"/>
          <w:color w:val="FF0000"/>
          <w:sz w:val="28"/>
          <w:szCs w:val="28"/>
          <w:rtl/>
          <w:lang w:eastAsia="ja-JP"/>
        </w:rPr>
        <w:t>)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وهذا ظاهر؛ فإن القصد والعمل إن لم يكن بعلم كان جهلاً وضلالاً، واتباعًا للهوى.</w:t>
      </w:r>
    </w:p>
    <w:p w:rsidR="000B7F38" w:rsidRPr="000B7F38" w:rsidRDefault="000B7F38" w:rsidP="00613511">
      <w:pPr>
        <w:jc w:val="both"/>
        <w:rPr>
          <w:rFonts w:asciiTheme="minorBidi" w:eastAsia="Times New Roman" w:hAnsiTheme="minorBidi"/>
          <w:sz w:val="28"/>
          <w:szCs w:val="28"/>
          <w:rtl/>
          <w:lang w:eastAsia="ja-JP"/>
        </w:rPr>
      </w:pPr>
    </w:p>
    <w:p w:rsidR="000D7FA5" w:rsidRPr="000D7FA5" w:rsidRDefault="000D7FA5" w:rsidP="00613511">
      <w:pPr>
        <w:jc w:val="both"/>
        <w:rPr>
          <w:rFonts w:asciiTheme="minorBidi" w:hAnsiTheme="minorBidi"/>
          <w:sz w:val="28"/>
          <w:szCs w:val="28"/>
          <w:rtl/>
        </w:rPr>
      </w:pP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>والدعوة إلى الله -عز وجل- عبادة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ولا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 xml:space="preserve"> 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>بد للعبادة من العلم النافع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فلا يمكن للعبد أن يصلي حتى يتعلم فقه الطهارة والصلاة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ولا يمكنه أن يحج قبل أن يتعلم المناسك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وكذا من تصدر للدعوة قبل أن يتعلم فقه الدعوة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وقبل أن يعرف ما يبثه من أحاديث وآثار هل هي من الصحيح الثابت عن النبي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أو من الخرافات والموضوعات؟ وقد قال النبي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: 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D7FA5">
        <w:rPr>
          <w:rFonts w:asciiTheme="minorBidi" w:eastAsia="Times New Roman" w:hAnsiTheme="minorBidi"/>
          <w:color w:val="008000"/>
          <w:sz w:val="28"/>
          <w:szCs w:val="28"/>
          <w:rtl/>
          <w:lang w:eastAsia="ja-JP"/>
        </w:rPr>
        <w:t>مَنْ كَذَبَ عَلَيَّ مُتَعَمِّدًا فَلْيَتَبَوَّأْ مَقْعَدَهُ مِنَ النَّارِ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> (متفق عليه)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ومن عبد الله بغير علم كان ما يفسد أكثر مما يصلح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والبصيرة تختلف من زمان إلى زمان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،</w:t>
      </w:r>
      <w:r w:rsidRPr="000D7FA5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ومن مكان إلى مكان.</w:t>
      </w:r>
    </w:p>
    <w:p w:rsidR="000D7FA5" w:rsidRPr="000B7F38" w:rsidRDefault="000D7FA5" w:rsidP="000D7FA5">
      <w:pPr>
        <w:pStyle w:val="ListParagraph"/>
        <w:spacing w:after="0" w:line="473" w:lineRule="atLeast"/>
        <w:jc w:val="both"/>
        <w:rPr>
          <w:rFonts w:asciiTheme="minorBidi" w:eastAsia="Times New Roman" w:hAnsiTheme="minorBidi"/>
          <w:color w:val="424142"/>
          <w:sz w:val="28"/>
          <w:szCs w:val="28"/>
          <w:lang w:eastAsia="ja-JP"/>
        </w:rPr>
      </w:pPr>
    </w:p>
    <w:p w:rsidR="000D7FA5" w:rsidRPr="000B7F38" w:rsidRDefault="000D7FA5" w:rsidP="000D7FA5">
      <w:pPr>
        <w:pStyle w:val="ListParagraph"/>
        <w:numPr>
          <w:ilvl w:val="0"/>
          <w:numId w:val="1"/>
        </w:numPr>
        <w:spacing w:after="0" w:line="473" w:lineRule="atLeast"/>
        <w:jc w:val="both"/>
        <w:rPr>
          <w:rFonts w:asciiTheme="minorBidi" w:eastAsia="Times New Roman" w:hAnsiTheme="minorBidi"/>
          <w:sz w:val="28"/>
          <w:szCs w:val="28"/>
          <w:lang w:eastAsia="ja-JP"/>
        </w:rPr>
      </w:pP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الرفق:</w:t>
      </w:r>
    </w:p>
    <w:p w:rsidR="000D7FA5" w:rsidRPr="000B7F38" w:rsidRDefault="000D7FA5" w:rsidP="00613511">
      <w:pPr>
        <w:jc w:val="both"/>
        <w:rPr>
          <w:rFonts w:asciiTheme="minorBidi" w:hAnsiTheme="minorBidi"/>
          <w:sz w:val="28"/>
          <w:szCs w:val="28"/>
          <w:rtl/>
        </w:rPr>
      </w:pP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قال الله -عز وجل- لنبيه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: 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0000FF"/>
          <w:sz w:val="28"/>
          <w:szCs w:val="28"/>
          <w:rtl/>
          <w:lang w:eastAsia="ja-JP"/>
        </w:rPr>
        <w:t>فَبِمَا رَحْمَةٍ مِنَ اللَّهِ لِنْتَ لَهُمْ وَلَوْ كُنْتَ فَظًّا غَلِيظَ الْقَلْبِ لانْفَضُّوا مِنْ حَوْلِكَ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 (آل عمران: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 xml:space="preserve"> 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159)، وقال النبي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: 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008000"/>
          <w:sz w:val="28"/>
          <w:szCs w:val="28"/>
          <w:rtl/>
          <w:lang w:eastAsia="ja-JP"/>
        </w:rPr>
        <w:t>إِنَّ الرِّفْقَ لاَ يَكُونُ فِي شَيْءٍ إِلاَّ زَانَهُ وَلاَ يُنْزَعُ مِنْ شَيْءٍ إِلاَّ شَانَهُ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 xml:space="preserve"> (رواه مسلم)، وقال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eastAsia="Times New Roman" w:hAnsiTheme="minorBidi"/>
          <w:color w:val="424142"/>
          <w:sz w:val="28"/>
          <w:szCs w:val="28"/>
          <w:rtl/>
          <w:lang w:eastAsia="ja-JP"/>
        </w:rPr>
        <w:t xml:space="preserve">: </w:t>
      </w:r>
      <w:r w:rsidRPr="000B7F38">
        <w:rPr>
          <w:rFonts w:asciiTheme="minorBidi" w:eastAsia="Times New Roman" w:hAnsiTheme="minorBidi" w:hint="cs"/>
          <w:color w:val="424142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008000"/>
          <w:sz w:val="28"/>
          <w:szCs w:val="28"/>
          <w:rtl/>
          <w:lang w:eastAsia="ja-JP"/>
        </w:rPr>
        <w:t>إِنَّ اللَّهَ رَفِيقٌ يُحِبُّ الرِّفْقَ وَيُعْطِي عَلَى الرِّفْقِ مَا لاَ</w:t>
      </w:r>
      <w:r w:rsidRPr="000B7F38">
        <w:rPr>
          <w:rFonts w:asciiTheme="minorBidi" w:eastAsia="Times New Roman" w:hAnsiTheme="minorBidi"/>
          <w:color w:val="FF0000"/>
          <w:sz w:val="28"/>
          <w:szCs w:val="28"/>
          <w:rtl/>
          <w:lang w:eastAsia="ja-JP"/>
        </w:rPr>
        <w:t> </w:t>
      </w:r>
      <w:r w:rsidRPr="000B7F38">
        <w:rPr>
          <w:rFonts w:asciiTheme="minorBidi" w:eastAsia="Times New Roman" w:hAnsiTheme="minorBidi"/>
          <w:color w:val="008000"/>
          <w:sz w:val="28"/>
          <w:szCs w:val="28"/>
          <w:rtl/>
          <w:lang w:eastAsia="ja-JP"/>
        </w:rPr>
        <w:t>يُعْطِي عَلَى الْعُنْفِ وَمَا لاَ يُعْطِي عَلَى مَا سِوَاهُ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 (رواه مسلم)، وعن جرير قال: سمعت رسول الله </w:t>
      </w:r>
      <w:r w:rsidR="00613511" w:rsidRPr="000B7F38">
        <w:rPr>
          <w:rFonts w:asciiTheme="minorBidi" w:hAnsiTheme="minorBidi"/>
          <w:sz w:val="28"/>
          <w:szCs w:val="28"/>
        </w:rPr>
        <w:sym w:font="AGA Arabesque" w:char="F065"/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 xml:space="preserve"> يقول: 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color w:val="008000"/>
          <w:sz w:val="28"/>
          <w:szCs w:val="28"/>
          <w:rtl/>
          <w:lang w:eastAsia="ja-JP"/>
        </w:rPr>
        <w:t>مَنْ يُحْرَمِ الرِّفْقَ يُحْرَمِ الْخَيْرَ</w:t>
      </w:r>
      <w:r w:rsidRPr="000B7F38">
        <w:rPr>
          <w:rFonts w:asciiTheme="minorBidi" w:eastAsia="Times New Roman" w:hAnsiTheme="minorBidi" w:hint="cs"/>
          <w:sz w:val="28"/>
          <w:szCs w:val="28"/>
          <w:rtl/>
          <w:lang w:eastAsia="ja-JP"/>
        </w:rPr>
        <w:t>"</w:t>
      </w:r>
      <w:r w:rsidRPr="000B7F38">
        <w:rPr>
          <w:rFonts w:asciiTheme="minorBidi" w:eastAsia="Times New Roman" w:hAnsiTheme="minorBidi"/>
          <w:sz w:val="28"/>
          <w:szCs w:val="28"/>
          <w:rtl/>
          <w:lang w:eastAsia="ja-JP"/>
        </w:rPr>
        <w:t> (رواه مسلم).</w:t>
      </w:r>
      <w:bookmarkEnd w:id="0"/>
    </w:p>
    <w:sectPr w:rsidR="000D7FA5" w:rsidRPr="000B7F38" w:rsidSect="009F5C7E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E6F" w:rsidRDefault="000D6E6F" w:rsidP="003B019F">
      <w:pPr>
        <w:spacing w:after="0" w:line="240" w:lineRule="auto"/>
      </w:pPr>
      <w:r>
        <w:separator/>
      </w:r>
    </w:p>
  </w:endnote>
  <w:endnote w:type="continuationSeparator" w:id="0">
    <w:p w:rsidR="000D6E6F" w:rsidRDefault="000D6E6F" w:rsidP="003B0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A Arabesque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otus Linotype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E6F" w:rsidRDefault="000D6E6F" w:rsidP="003B019F">
      <w:pPr>
        <w:spacing w:after="0" w:line="240" w:lineRule="auto"/>
      </w:pPr>
      <w:r>
        <w:separator/>
      </w:r>
    </w:p>
  </w:footnote>
  <w:footnote w:type="continuationSeparator" w:id="0">
    <w:p w:rsidR="000D6E6F" w:rsidRDefault="000D6E6F" w:rsidP="003B019F">
      <w:pPr>
        <w:spacing w:after="0" w:line="240" w:lineRule="auto"/>
      </w:pPr>
      <w:r>
        <w:continuationSeparator/>
      </w:r>
    </w:p>
  </w:footnote>
  <w:footnote w:id="1">
    <w:p w:rsidR="003B019F" w:rsidRPr="003B019F" w:rsidRDefault="003B019F">
      <w:pPr>
        <w:pStyle w:val="FootnoteText"/>
        <w:rPr>
          <w:lang w:bidi="ar-EG"/>
        </w:rPr>
      </w:pPr>
      <w:r w:rsidRPr="003B019F">
        <w:rPr>
          <w:rStyle w:val="FootnoteReference"/>
        </w:rPr>
        <w:footnoteRef/>
      </w:r>
      <w:r w:rsidRPr="003B019F">
        <w:rPr>
          <w:rtl/>
        </w:rPr>
        <w:t xml:space="preserve"> </w:t>
      </w:r>
      <w:r w:rsidRPr="003B019F">
        <w:rPr>
          <w:rFonts w:ascii="Lotus Linotype" w:eastAsia="Times New Roman" w:hAnsi="Lotus Linotype" w:cs="Times New Roman"/>
          <w:color w:val="424142"/>
          <w:rtl/>
        </w:rPr>
        <w:t>رواه النسائي، وصححه الألباني</w:t>
      </w:r>
      <w:r w:rsidR="000D7FA5">
        <w:rPr>
          <w:rFonts w:ascii="Lotus Linotype" w:eastAsia="Times New Roman" w:hAnsi="Lotus Linotype" w:cs="Times New Roman" w:hint="cs"/>
          <w:color w:val="424142"/>
          <w:rtl/>
        </w:rPr>
        <w:t>.</w:t>
      </w:r>
    </w:p>
  </w:footnote>
  <w:footnote w:id="2">
    <w:p w:rsidR="003B019F" w:rsidRDefault="003B019F">
      <w:pPr>
        <w:pStyle w:val="FootnoteText"/>
        <w:rPr>
          <w:lang w:bidi="ar-EG"/>
        </w:rPr>
      </w:pPr>
      <w:r w:rsidRPr="003B019F">
        <w:rPr>
          <w:rStyle w:val="FootnoteReference"/>
        </w:rPr>
        <w:footnoteRef/>
      </w:r>
      <w:r w:rsidRPr="003B019F">
        <w:rPr>
          <w:rtl/>
        </w:rPr>
        <w:t xml:space="preserve"> </w:t>
      </w:r>
      <w:r w:rsidRPr="003B019F">
        <w:rPr>
          <w:rFonts w:ascii="Lotus Linotype" w:hAnsi="Lotus Linotype"/>
          <w:b/>
          <w:bCs/>
          <w:color w:val="424142"/>
          <w:shd w:val="clear" w:color="auto" w:fill="FFFFFF"/>
          <w:rtl/>
        </w:rPr>
        <w:t>رواه أبو داود والترمذي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F450A8"/>
    <w:multiLevelType w:val="hybridMultilevel"/>
    <w:tmpl w:val="B0507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FDB"/>
    <w:rsid w:val="000B7F38"/>
    <w:rsid w:val="000D6E6F"/>
    <w:rsid w:val="000D7FA5"/>
    <w:rsid w:val="001E3981"/>
    <w:rsid w:val="003522E8"/>
    <w:rsid w:val="003B019F"/>
    <w:rsid w:val="003C33E4"/>
    <w:rsid w:val="00566865"/>
    <w:rsid w:val="005F6FDB"/>
    <w:rsid w:val="00613511"/>
    <w:rsid w:val="00940C93"/>
    <w:rsid w:val="009F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FDBD"/>
  <w15:docId w15:val="{67B82178-ACED-4BAC-8EED-6174E513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link w:val="Heading2Char"/>
    <w:uiPriority w:val="9"/>
    <w:qFormat/>
    <w:rsid w:val="000D7FA5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0C9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B019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B019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B019F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0D7FA5"/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paragraph" w:styleId="ListParagraph">
    <w:name w:val="List Paragraph"/>
    <w:basedOn w:val="Normal"/>
    <w:uiPriority w:val="34"/>
    <w:qFormat/>
    <w:rsid w:val="000D7F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EAB80-4BB2-4CAA-BBEB-618428C65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STW</dc:creator>
  <cp:keywords/>
  <dc:description/>
  <cp:lastModifiedBy>Al-Andalus Group LTD</cp:lastModifiedBy>
  <cp:revision>6</cp:revision>
  <dcterms:created xsi:type="dcterms:W3CDTF">2021-11-11T20:32:00Z</dcterms:created>
  <dcterms:modified xsi:type="dcterms:W3CDTF">2024-02-28T06:23:00Z</dcterms:modified>
</cp:coreProperties>
</file>