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76E329" w14:textId="77777777" w:rsidR="00915E2A" w:rsidRPr="00915E2A" w:rsidRDefault="00915E2A" w:rsidP="00915E2A">
      <w:pPr>
        <w:pStyle w:val="Heading2"/>
        <w:bidi/>
        <w:spacing w:before="0" w:beforeAutospacing="0" w:after="150" w:afterAutospacing="0"/>
        <w:rPr>
          <w:rFonts w:ascii="Lotus Linotype" w:hAnsi="Lotus Linotype"/>
          <w:color w:val="424142"/>
          <w:sz w:val="32"/>
          <w:szCs w:val="32"/>
        </w:rPr>
      </w:pPr>
      <w:r w:rsidRPr="00915E2A">
        <w:rPr>
          <w:rFonts w:ascii="Lotus Linotype" w:hAnsi="Lotus Linotype"/>
          <w:color w:val="424142"/>
          <w:sz w:val="32"/>
          <w:szCs w:val="32"/>
          <w:rtl/>
        </w:rPr>
        <w:t>أصول التفسير الموضوعي</w:t>
      </w:r>
    </w:p>
    <w:p w14:paraId="12C9F7A4" w14:textId="71C4A5B3" w:rsidR="00915E2A" w:rsidRDefault="00915E2A" w:rsidP="00915E2A">
      <w:pPr>
        <w:pStyle w:val="NormalWeb"/>
        <w:bidi/>
        <w:jc w:val="both"/>
        <w:rPr>
          <w:rFonts w:ascii="Lotus Linotype" w:hAnsi="Lotus Linotype"/>
          <w:color w:val="424142"/>
          <w:sz w:val="32"/>
          <w:szCs w:val="32"/>
        </w:rPr>
      </w:pPr>
      <w:r w:rsidRPr="00915E2A">
        <w:rPr>
          <w:rFonts w:ascii="Lotus Linotype" w:hAnsi="Lotus Linotype"/>
          <w:color w:val="424142"/>
          <w:sz w:val="32"/>
          <w:szCs w:val="32"/>
        </w:rPr>
        <w:br/>
      </w:r>
      <w:r w:rsidRPr="00915E2A">
        <w:rPr>
          <w:rFonts w:ascii="Lotus Linotype" w:hAnsi="Lotus Linotype"/>
          <w:color w:val="424142"/>
          <w:sz w:val="32"/>
          <w:szCs w:val="32"/>
          <w:rtl/>
        </w:rPr>
        <w:t>أولاً</w:t>
      </w:r>
      <w:r>
        <w:rPr>
          <w:rFonts w:ascii="Lotus Linotype" w:hAnsi="Lotus Linotype" w:hint="cs"/>
          <w:color w:val="424142"/>
          <w:sz w:val="32"/>
          <w:szCs w:val="32"/>
          <w:rtl/>
        </w:rPr>
        <w:t xml:space="preserve">: </w:t>
      </w:r>
      <w:r w:rsidRPr="00915E2A">
        <w:rPr>
          <w:rFonts w:ascii="Lotus Linotype" w:hAnsi="Lotus Linotype"/>
          <w:color w:val="424142"/>
          <w:sz w:val="32"/>
          <w:szCs w:val="32"/>
          <w:rtl/>
        </w:rPr>
        <w:t>مشروعية التفسير الموضوعي</w:t>
      </w:r>
    </w:p>
    <w:p w14:paraId="692E1D07" w14:textId="4AD6249F" w:rsidR="00915E2A" w:rsidRDefault="00915E2A" w:rsidP="00C4783C">
      <w:pPr>
        <w:pStyle w:val="NormalWeb"/>
        <w:bidi/>
        <w:jc w:val="both"/>
        <w:rPr>
          <w:rFonts w:ascii="Lotus Linotype" w:hAnsi="Lotus Linotype"/>
          <w:color w:val="424142"/>
          <w:sz w:val="32"/>
          <w:szCs w:val="32"/>
        </w:rPr>
      </w:pPr>
      <w:r>
        <w:rPr>
          <w:rFonts w:ascii="Lotus Linotype" w:hAnsi="Lotus Linotype"/>
          <w:color w:val="424142"/>
          <w:sz w:val="32"/>
          <w:szCs w:val="32"/>
          <w:rtl/>
        </w:rPr>
        <w:t>إن كل شكل من أشكال الفهم لمعاني القرآن ينبني على أصل الأمر بتدبر القرآن المستفاد من قوله تعالى</w:t>
      </w:r>
      <w:r>
        <w:rPr>
          <w:rFonts w:ascii="Lotus Linotype" w:hAnsi="Lotus Linotype" w:hint="cs"/>
          <w:color w:val="424142"/>
          <w:sz w:val="32"/>
          <w:szCs w:val="32"/>
          <w:rtl/>
        </w:rPr>
        <w:t>: "</w:t>
      </w:r>
      <w:r>
        <w:rPr>
          <w:rFonts w:ascii="Lotus Linotype" w:hAnsi="Lotus Linotype"/>
          <w:color w:val="0000FF"/>
          <w:sz w:val="32"/>
          <w:szCs w:val="32"/>
          <w:rtl/>
        </w:rPr>
        <w:t>كتاب أنزلناه إليك مبارك ليدبروا آياته وليتذكر أولو الألباب</w:t>
      </w:r>
      <w:r>
        <w:rPr>
          <w:rFonts w:ascii="Lotus Linotype" w:hAnsi="Lotus Linotype" w:hint="cs"/>
          <w:color w:val="424142"/>
          <w:sz w:val="32"/>
          <w:szCs w:val="32"/>
          <w:rtl/>
        </w:rPr>
        <w:t>" (</w:t>
      </w:r>
      <w:r>
        <w:rPr>
          <w:rFonts w:ascii="Lotus Linotype" w:hAnsi="Lotus Linotype"/>
          <w:color w:val="424142"/>
          <w:sz w:val="32"/>
          <w:szCs w:val="32"/>
          <w:rtl/>
        </w:rPr>
        <w:t>ص:</w:t>
      </w:r>
      <w:r>
        <w:rPr>
          <w:rFonts w:ascii="Lotus Linotype" w:hAnsi="Lotus Linotype" w:hint="cs"/>
          <w:color w:val="424142"/>
          <w:sz w:val="32"/>
          <w:szCs w:val="32"/>
          <w:rtl/>
        </w:rPr>
        <w:t xml:space="preserve"> </w:t>
      </w:r>
      <w:r>
        <w:rPr>
          <w:rFonts w:ascii="Lotus Linotype" w:hAnsi="Lotus Linotype"/>
          <w:color w:val="424142"/>
          <w:sz w:val="32"/>
          <w:szCs w:val="32"/>
          <w:rtl/>
        </w:rPr>
        <w:t>29)</w:t>
      </w:r>
      <w:r w:rsidR="00C4783C">
        <w:rPr>
          <w:rFonts w:ascii="Lotus Linotype" w:hAnsi="Lotus Linotype" w:hint="cs"/>
          <w:color w:val="424142"/>
          <w:sz w:val="32"/>
          <w:szCs w:val="32"/>
          <w:rtl/>
        </w:rPr>
        <w:t>،</w:t>
      </w:r>
      <w:r>
        <w:rPr>
          <w:rFonts w:ascii="Lotus Linotype" w:hAnsi="Lotus Linotype"/>
          <w:color w:val="424142"/>
          <w:sz w:val="32"/>
          <w:szCs w:val="32"/>
          <w:rtl/>
        </w:rPr>
        <w:t xml:space="preserve"> وقوله سبحانه</w:t>
      </w:r>
      <w:r>
        <w:rPr>
          <w:rFonts w:ascii="Lotus Linotype" w:hAnsi="Lotus Linotype" w:hint="cs"/>
          <w:color w:val="424142"/>
          <w:sz w:val="32"/>
          <w:szCs w:val="32"/>
          <w:rtl/>
        </w:rPr>
        <w:t>: "</w:t>
      </w:r>
      <w:r>
        <w:rPr>
          <w:rFonts w:ascii="Lotus Linotype" w:hAnsi="Lotus Linotype"/>
          <w:color w:val="0000FF"/>
          <w:sz w:val="32"/>
          <w:szCs w:val="32"/>
          <w:rtl/>
        </w:rPr>
        <w:t>أفلم يدبروا القول أم جاءهم ما لم يأت آباءهم الأولين</w:t>
      </w:r>
      <w:r>
        <w:rPr>
          <w:rFonts w:ascii="Lotus Linotype" w:hAnsi="Lotus Linotype" w:hint="cs"/>
          <w:color w:val="424142"/>
          <w:sz w:val="32"/>
          <w:szCs w:val="32"/>
          <w:rtl/>
        </w:rPr>
        <w:t>" (</w:t>
      </w:r>
      <w:r>
        <w:rPr>
          <w:rFonts w:ascii="Lotus Linotype" w:hAnsi="Lotus Linotype"/>
          <w:color w:val="424142"/>
          <w:sz w:val="32"/>
          <w:szCs w:val="32"/>
          <w:rtl/>
        </w:rPr>
        <w:t>المؤمنون:</w:t>
      </w:r>
      <w:r>
        <w:rPr>
          <w:rFonts w:ascii="Lotus Linotype" w:hAnsi="Lotus Linotype" w:hint="cs"/>
          <w:color w:val="424142"/>
          <w:sz w:val="32"/>
          <w:szCs w:val="32"/>
          <w:rtl/>
        </w:rPr>
        <w:t xml:space="preserve"> </w:t>
      </w:r>
      <w:r>
        <w:rPr>
          <w:rFonts w:ascii="Lotus Linotype" w:hAnsi="Lotus Linotype"/>
          <w:color w:val="424142"/>
          <w:sz w:val="32"/>
          <w:szCs w:val="32"/>
          <w:rtl/>
        </w:rPr>
        <w:t>68)</w:t>
      </w:r>
      <w:r>
        <w:rPr>
          <w:rFonts w:ascii="Lotus Linotype" w:hAnsi="Lotus Linotype" w:hint="cs"/>
          <w:color w:val="424142"/>
          <w:sz w:val="32"/>
          <w:szCs w:val="32"/>
          <w:rtl/>
        </w:rPr>
        <w:t>،</w:t>
      </w:r>
      <w:r>
        <w:rPr>
          <w:rFonts w:ascii="Lotus Linotype" w:hAnsi="Lotus Linotype"/>
          <w:color w:val="424142"/>
          <w:sz w:val="32"/>
          <w:szCs w:val="32"/>
          <w:rtl/>
        </w:rPr>
        <w:t xml:space="preserve"> وقوله عز وجل</w:t>
      </w:r>
      <w:r w:rsidR="00C4783C">
        <w:rPr>
          <w:rFonts w:ascii="Lotus Linotype" w:hAnsi="Lotus Linotype" w:hint="cs"/>
          <w:color w:val="424142"/>
          <w:sz w:val="32"/>
          <w:szCs w:val="32"/>
          <w:rtl/>
        </w:rPr>
        <w:t>: "</w:t>
      </w:r>
      <w:r>
        <w:rPr>
          <w:rFonts w:ascii="Lotus Linotype" w:hAnsi="Lotus Linotype"/>
          <w:color w:val="0000FF"/>
          <w:sz w:val="32"/>
          <w:szCs w:val="32"/>
          <w:rtl/>
        </w:rPr>
        <w:t>أفلا يتدبرون القرآن أم على قلوب أقفالها</w:t>
      </w:r>
      <w:r w:rsidR="00C4783C">
        <w:rPr>
          <w:rFonts w:ascii="Lotus Linotype" w:hAnsi="Lotus Linotype" w:hint="cs"/>
          <w:color w:val="424142"/>
          <w:sz w:val="32"/>
          <w:szCs w:val="32"/>
          <w:rtl/>
        </w:rPr>
        <w:t>" (</w:t>
      </w:r>
      <w:r>
        <w:rPr>
          <w:rFonts w:ascii="Lotus Linotype" w:hAnsi="Lotus Linotype"/>
          <w:color w:val="424142"/>
          <w:sz w:val="32"/>
          <w:szCs w:val="32"/>
          <w:rtl/>
        </w:rPr>
        <w:t>محمد:</w:t>
      </w:r>
      <w:r w:rsidR="00C4783C">
        <w:rPr>
          <w:rFonts w:ascii="Lotus Linotype" w:hAnsi="Lotus Linotype" w:hint="cs"/>
          <w:color w:val="424142"/>
          <w:sz w:val="32"/>
          <w:szCs w:val="32"/>
          <w:rtl/>
        </w:rPr>
        <w:t xml:space="preserve"> </w:t>
      </w:r>
      <w:r>
        <w:rPr>
          <w:rFonts w:ascii="Lotus Linotype" w:hAnsi="Lotus Linotype"/>
          <w:color w:val="424142"/>
          <w:sz w:val="32"/>
          <w:szCs w:val="32"/>
          <w:rtl/>
        </w:rPr>
        <w:t>24</w:t>
      </w:r>
      <w:r w:rsidR="00C4783C">
        <w:rPr>
          <w:rFonts w:ascii="Lotus Linotype" w:hAnsi="Lotus Linotype" w:hint="cs"/>
          <w:color w:val="424142"/>
          <w:sz w:val="32"/>
          <w:szCs w:val="32"/>
          <w:rtl/>
        </w:rPr>
        <w:t>).</w:t>
      </w:r>
    </w:p>
    <w:p w14:paraId="291C7634" w14:textId="627967DD" w:rsidR="00915E2A" w:rsidRDefault="00915E2A" w:rsidP="00C4783C">
      <w:pPr>
        <w:pStyle w:val="NormalWeb"/>
        <w:bidi/>
        <w:jc w:val="both"/>
        <w:rPr>
          <w:rFonts w:ascii="Lotus Linotype" w:hAnsi="Lotus Linotype"/>
          <w:color w:val="424142"/>
          <w:sz w:val="32"/>
          <w:szCs w:val="32"/>
        </w:rPr>
      </w:pPr>
      <w:r>
        <w:rPr>
          <w:rFonts w:ascii="Lotus Linotype" w:hAnsi="Lotus Linotype"/>
          <w:color w:val="424142"/>
          <w:sz w:val="32"/>
          <w:szCs w:val="32"/>
          <w:rtl/>
        </w:rPr>
        <w:t>والتفسير الموضوعي يندرج ضمن هذا الأمر العام؛ إذ هو تدَبُّر وفَهْمٌ للقرآن الكريم، بل إن التفسير الموضوعي يُعدُّ استجابة لقوله تعالى</w:t>
      </w:r>
      <w:r w:rsidR="00C4783C">
        <w:rPr>
          <w:rFonts w:ascii="Lotus Linotype" w:hAnsi="Lotus Linotype" w:hint="cs"/>
          <w:color w:val="424142"/>
          <w:sz w:val="32"/>
          <w:szCs w:val="32"/>
          <w:rtl/>
        </w:rPr>
        <w:t>: "</w:t>
      </w:r>
      <w:r>
        <w:rPr>
          <w:rFonts w:ascii="Lotus Linotype" w:hAnsi="Lotus Linotype"/>
          <w:color w:val="0000FF"/>
          <w:sz w:val="32"/>
          <w:szCs w:val="32"/>
          <w:rtl/>
        </w:rPr>
        <w:t>أفلا يتدبرون القرآن ولو كان من عند غير الله لوجدوا فيه اختلافا كثيرا</w:t>
      </w:r>
      <w:r w:rsidR="00C4783C">
        <w:rPr>
          <w:rFonts w:ascii="Lotus Linotype" w:hAnsi="Lotus Linotype" w:hint="cs"/>
          <w:color w:val="424142"/>
          <w:sz w:val="32"/>
          <w:szCs w:val="32"/>
          <w:rtl/>
        </w:rPr>
        <w:t>" (</w:t>
      </w:r>
      <w:r>
        <w:rPr>
          <w:rFonts w:ascii="Lotus Linotype" w:hAnsi="Lotus Linotype"/>
          <w:color w:val="424142"/>
          <w:sz w:val="32"/>
          <w:szCs w:val="32"/>
          <w:rtl/>
        </w:rPr>
        <w:t>النساء:</w:t>
      </w:r>
      <w:r w:rsidR="00C4783C">
        <w:rPr>
          <w:rFonts w:ascii="Lotus Linotype" w:hAnsi="Lotus Linotype" w:hint="cs"/>
          <w:color w:val="424142"/>
          <w:sz w:val="32"/>
          <w:szCs w:val="32"/>
          <w:rtl/>
        </w:rPr>
        <w:t xml:space="preserve"> </w:t>
      </w:r>
      <w:r>
        <w:rPr>
          <w:rFonts w:ascii="Lotus Linotype" w:hAnsi="Lotus Linotype"/>
          <w:color w:val="424142"/>
          <w:sz w:val="32"/>
          <w:szCs w:val="32"/>
          <w:rtl/>
        </w:rPr>
        <w:t>82)</w:t>
      </w:r>
      <w:r w:rsidR="00C4783C">
        <w:rPr>
          <w:rFonts w:ascii="Lotus Linotype" w:hAnsi="Lotus Linotype" w:hint="cs"/>
          <w:color w:val="424142"/>
          <w:sz w:val="32"/>
          <w:szCs w:val="32"/>
          <w:rtl/>
        </w:rPr>
        <w:t>،</w:t>
      </w:r>
      <w:r>
        <w:rPr>
          <w:rFonts w:ascii="Lotus Linotype" w:hAnsi="Lotus Linotype"/>
          <w:color w:val="424142"/>
          <w:sz w:val="32"/>
          <w:szCs w:val="32"/>
          <w:rtl/>
        </w:rPr>
        <w:t xml:space="preserve"> فقد وردت هذه الآية في سياق عام يرتبط بالحضِّ على الجهاد بالنفس والمال ومواجهة القاعدين والمعوِّقين والتنديد بهم، ومن هؤلاء المعوِّقين المنافقون الذين يقترح عليهم القرآن جواباً على تردُّدهم وتشككهم في أمر القرآن إلى إدراكهم وتدبر عقولهم، يقول </w:t>
      </w:r>
      <w:r>
        <w:rPr>
          <w:rFonts w:ascii="Lotus Linotype" w:hAnsi="Lotus Linotype"/>
          <w:color w:val="800000"/>
          <w:sz w:val="32"/>
          <w:szCs w:val="32"/>
          <w:rtl/>
        </w:rPr>
        <w:t>ابن كثير</w:t>
      </w:r>
      <w:r w:rsidR="00C4783C">
        <w:rPr>
          <w:rFonts w:ascii="Lotus Linotype" w:hAnsi="Lotus Linotype" w:hint="cs"/>
          <w:color w:val="424142"/>
          <w:sz w:val="32"/>
          <w:szCs w:val="32"/>
          <w:rtl/>
        </w:rPr>
        <w:t xml:space="preserve">: </w:t>
      </w:r>
      <w:r w:rsidR="00C4783C" w:rsidRPr="00C4783C">
        <w:rPr>
          <w:rFonts w:ascii="Lotus Linotype" w:hAnsi="Lotus Linotype" w:hint="cs"/>
          <w:color w:val="FF0000"/>
          <w:sz w:val="32"/>
          <w:szCs w:val="32"/>
          <w:rtl/>
        </w:rPr>
        <w:t>(</w:t>
      </w:r>
      <w:r w:rsidRPr="00C4783C">
        <w:rPr>
          <w:rFonts w:ascii="Lotus Linotype" w:hAnsi="Lotus Linotype"/>
          <w:color w:val="FF0000"/>
          <w:sz w:val="32"/>
          <w:szCs w:val="32"/>
          <w:rtl/>
        </w:rPr>
        <w:t>أي: لو كان مفتَعَلاً مختَلَقاً، كما يقوله من يقوله من جهلة المشركين والمنافقين في بواطنهم {لوجدوا فيه اختلافا كثيرا} (النساء:</w:t>
      </w:r>
      <w:r w:rsidR="00C4783C">
        <w:rPr>
          <w:rFonts w:ascii="Lotus Linotype" w:hAnsi="Lotus Linotype" w:hint="cs"/>
          <w:color w:val="FF0000"/>
          <w:sz w:val="32"/>
          <w:szCs w:val="32"/>
          <w:rtl/>
        </w:rPr>
        <w:t xml:space="preserve"> </w:t>
      </w:r>
      <w:r w:rsidRPr="00C4783C">
        <w:rPr>
          <w:rFonts w:ascii="Lotus Linotype" w:hAnsi="Lotus Linotype"/>
          <w:color w:val="FF0000"/>
          <w:sz w:val="32"/>
          <w:szCs w:val="32"/>
          <w:rtl/>
        </w:rPr>
        <w:t>82) أي: اضطراباً وتضاداً كثيراً. أي: وهذا سالم من الاختلاف، فهو من عند الله</w:t>
      </w:r>
      <w:r w:rsidR="00C4783C">
        <w:rPr>
          <w:rFonts w:ascii="Lotus Linotype" w:hAnsi="Lotus Linotype" w:hint="cs"/>
          <w:color w:val="FF0000"/>
          <w:sz w:val="32"/>
          <w:szCs w:val="32"/>
          <w:rtl/>
        </w:rPr>
        <w:t>)</w:t>
      </w:r>
      <w:r>
        <w:rPr>
          <w:rFonts w:ascii="Lotus Linotype" w:hAnsi="Lotus Linotype"/>
          <w:color w:val="424142"/>
          <w:sz w:val="32"/>
          <w:szCs w:val="32"/>
          <w:rtl/>
        </w:rPr>
        <w:t>. ووجه الاستدلال بالآية أن من أبرز مزايا المنهج الموضوعي اكتشاف تكاملية معاني نصوص القرآن وتناسقها وعدم تناقضها أو اختلافها، وهو الأمر نفسه الذي أمرت به الآية</w:t>
      </w:r>
      <w:r>
        <w:rPr>
          <w:rFonts w:ascii="Lotus Linotype" w:hAnsi="Lotus Linotype"/>
          <w:color w:val="424142"/>
          <w:sz w:val="32"/>
          <w:szCs w:val="32"/>
        </w:rPr>
        <w:t>.</w:t>
      </w:r>
    </w:p>
    <w:p w14:paraId="43EF6881" w14:textId="523FC15B" w:rsidR="00915E2A" w:rsidRDefault="00915E2A" w:rsidP="00C4783C">
      <w:pPr>
        <w:pStyle w:val="NormalWeb"/>
        <w:bidi/>
        <w:jc w:val="both"/>
        <w:rPr>
          <w:rFonts w:ascii="Lotus Linotype" w:hAnsi="Lotus Linotype"/>
          <w:color w:val="424142"/>
          <w:sz w:val="32"/>
          <w:szCs w:val="32"/>
        </w:rPr>
      </w:pPr>
      <w:r>
        <w:rPr>
          <w:rFonts w:ascii="Lotus Linotype" w:hAnsi="Lotus Linotype"/>
          <w:color w:val="424142"/>
          <w:sz w:val="32"/>
          <w:szCs w:val="32"/>
          <w:rtl/>
        </w:rPr>
        <w:t>وذكر بعض العلماء في مورد احتجاجهم للتفسير الموضوعي قوله تعالى</w:t>
      </w:r>
      <w:r w:rsidR="00C4783C">
        <w:rPr>
          <w:rFonts w:ascii="Lotus Linotype" w:hAnsi="Lotus Linotype" w:hint="cs"/>
          <w:color w:val="424142"/>
          <w:sz w:val="32"/>
          <w:szCs w:val="32"/>
          <w:rtl/>
        </w:rPr>
        <w:t>: "</w:t>
      </w:r>
      <w:r>
        <w:rPr>
          <w:rFonts w:ascii="Lotus Linotype" w:hAnsi="Lotus Linotype"/>
          <w:color w:val="0000FF"/>
          <w:sz w:val="32"/>
          <w:szCs w:val="32"/>
          <w:rtl/>
        </w:rPr>
        <w:t>الله نزل أحسن الحديث كتابا متشابها مثاني</w:t>
      </w:r>
      <w:r w:rsidR="00C4783C">
        <w:rPr>
          <w:rFonts w:ascii="Lotus Linotype" w:hAnsi="Lotus Linotype" w:hint="cs"/>
          <w:color w:val="424142"/>
          <w:sz w:val="32"/>
          <w:szCs w:val="32"/>
          <w:rtl/>
        </w:rPr>
        <w:t>" (</w:t>
      </w:r>
      <w:r>
        <w:rPr>
          <w:rFonts w:ascii="Lotus Linotype" w:hAnsi="Lotus Linotype"/>
          <w:color w:val="424142"/>
          <w:sz w:val="32"/>
          <w:szCs w:val="32"/>
          <w:rtl/>
        </w:rPr>
        <w:t>الزمر</w:t>
      </w:r>
      <w:r w:rsidR="00C4783C">
        <w:rPr>
          <w:rFonts w:ascii="Lotus Linotype" w:hAnsi="Lotus Linotype" w:hint="cs"/>
          <w:color w:val="424142"/>
          <w:sz w:val="32"/>
          <w:szCs w:val="32"/>
          <w:rtl/>
        </w:rPr>
        <w:t>:</w:t>
      </w:r>
      <w:r>
        <w:rPr>
          <w:rFonts w:ascii="Lotus Linotype" w:hAnsi="Lotus Linotype"/>
          <w:color w:val="424142"/>
          <w:sz w:val="32"/>
          <w:szCs w:val="32"/>
          <w:rtl/>
        </w:rPr>
        <w:t xml:space="preserve"> 23) ليقرروا أن</w:t>
      </w:r>
      <w:r w:rsidR="00C4783C">
        <w:rPr>
          <w:rFonts w:ascii="Lotus Linotype" w:hAnsi="Lotus Linotype" w:hint="cs"/>
          <w:color w:val="424142"/>
          <w:sz w:val="32"/>
          <w:szCs w:val="32"/>
          <w:rtl/>
        </w:rPr>
        <w:t xml:space="preserve"> </w:t>
      </w:r>
      <w:r w:rsidR="00C4783C">
        <w:rPr>
          <w:rFonts w:ascii="Lotus Linotype" w:hAnsi="Lotus Linotype"/>
          <w:color w:val="424142"/>
          <w:sz w:val="32"/>
          <w:szCs w:val="32"/>
          <w:rtl/>
        </w:rPr>
        <w:t xml:space="preserve">{المثاني} </w:t>
      </w:r>
      <w:r>
        <w:rPr>
          <w:rFonts w:ascii="Lotus Linotype" w:hAnsi="Lotus Linotype"/>
          <w:color w:val="424142"/>
          <w:sz w:val="32"/>
          <w:szCs w:val="32"/>
          <w:rtl/>
        </w:rPr>
        <w:t>صفة للقرآن، بمعنى أن بعض آيات القرآن ناظر إلى بعضها الآخر؛ فقد نقل </w:t>
      </w:r>
      <w:r>
        <w:rPr>
          <w:rFonts w:ascii="Lotus Linotype" w:hAnsi="Lotus Linotype"/>
          <w:color w:val="800000"/>
          <w:sz w:val="32"/>
          <w:szCs w:val="32"/>
          <w:rtl/>
        </w:rPr>
        <w:t>الطبري</w:t>
      </w:r>
      <w:r>
        <w:rPr>
          <w:rFonts w:ascii="Lotus Linotype" w:hAnsi="Lotus Linotype"/>
          <w:color w:val="424142"/>
          <w:sz w:val="32"/>
          <w:szCs w:val="32"/>
          <w:rtl/>
        </w:rPr>
        <w:t> عن </w:t>
      </w:r>
      <w:r>
        <w:rPr>
          <w:rFonts w:ascii="Lotus Linotype" w:hAnsi="Lotus Linotype"/>
          <w:color w:val="800000"/>
          <w:sz w:val="32"/>
          <w:szCs w:val="32"/>
          <w:rtl/>
        </w:rPr>
        <w:t>الحسن البصري</w:t>
      </w:r>
      <w:r>
        <w:rPr>
          <w:rFonts w:ascii="Lotus Linotype" w:hAnsi="Lotus Linotype"/>
          <w:color w:val="424142"/>
          <w:sz w:val="32"/>
          <w:szCs w:val="32"/>
          <w:rtl/>
        </w:rPr>
        <w:t xml:space="preserve"> قوله في تفسير {المثاني} قال: </w:t>
      </w:r>
      <w:r w:rsidR="00C4783C" w:rsidRPr="00C4783C">
        <w:rPr>
          <w:rFonts w:ascii="Lotus Linotype" w:hAnsi="Lotus Linotype" w:hint="cs"/>
          <w:color w:val="FF0000"/>
          <w:sz w:val="32"/>
          <w:szCs w:val="32"/>
          <w:rtl/>
        </w:rPr>
        <w:t>(</w:t>
      </w:r>
      <w:r w:rsidRPr="00C4783C">
        <w:rPr>
          <w:rFonts w:ascii="Lotus Linotype" w:hAnsi="Lotus Linotype"/>
          <w:color w:val="FF0000"/>
          <w:sz w:val="32"/>
          <w:szCs w:val="32"/>
          <w:rtl/>
        </w:rPr>
        <w:t>ثنى الله فيه القضاء، تكون السورة فيها الآية في سورة أخرى آية تشبهها</w:t>
      </w:r>
      <w:r w:rsidR="00C4783C" w:rsidRPr="00C4783C">
        <w:rPr>
          <w:rFonts w:ascii="Lotus Linotype" w:hAnsi="Lotus Linotype" w:hint="cs"/>
          <w:color w:val="FF0000"/>
          <w:sz w:val="32"/>
          <w:szCs w:val="32"/>
          <w:rtl/>
        </w:rPr>
        <w:t>)</w:t>
      </w:r>
      <w:r>
        <w:rPr>
          <w:rFonts w:ascii="Lotus Linotype" w:hAnsi="Lotus Linotype"/>
          <w:color w:val="424142"/>
          <w:sz w:val="32"/>
          <w:szCs w:val="32"/>
          <w:rtl/>
        </w:rPr>
        <w:t>، أي أن هناك سنداً قرآنيا للتفسير الموضوعي باعتباره قائماً على ما وصف القرآن به نفسه، وما يعنيه ذلك من لفت الأنظار</w:t>
      </w:r>
      <w:r>
        <w:rPr>
          <w:rFonts w:ascii="Lotus Linotype" w:hAnsi="Lotus Linotype"/>
          <w:color w:val="424142"/>
          <w:sz w:val="32"/>
          <w:szCs w:val="32"/>
        </w:rPr>
        <w:t>.</w:t>
      </w:r>
    </w:p>
    <w:p w14:paraId="5288FEDE" w14:textId="77777777" w:rsidR="00915E2A" w:rsidRDefault="00915E2A" w:rsidP="00915E2A">
      <w:pPr>
        <w:pStyle w:val="NormalWeb"/>
        <w:bidi/>
        <w:jc w:val="both"/>
        <w:rPr>
          <w:rFonts w:ascii="Lotus Linotype" w:hAnsi="Lotus Linotype"/>
          <w:color w:val="424142"/>
          <w:sz w:val="32"/>
          <w:szCs w:val="32"/>
        </w:rPr>
      </w:pPr>
      <w:r>
        <w:rPr>
          <w:rFonts w:ascii="Lotus Linotype" w:hAnsi="Lotus Linotype"/>
          <w:color w:val="424142"/>
          <w:sz w:val="32"/>
          <w:szCs w:val="32"/>
          <w:rtl/>
        </w:rPr>
        <w:t>وقد أضيف إلى دواعي الاشتغال بالتفسير الموضوعي مسوِّغ عملي، وهو أن شوط التفسير الترتيبي شوط طويل؛ لأنه يبدأ بسورة (الفاتحة) وينتهي بـ (الناس) ويحتاج هذا الشوط من أجل إكماله فترة زمنية طويلة، لم يحظ من علماء المسلمين إلا عدد محدود بهذا الشرف العظيم، شرف مرافقة كتاب الله من بدايته إلى نهايته</w:t>
      </w:r>
      <w:r>
        <w:rPr>
          <w:rFonts w:ascii="Lotus Linotype" w:hAnsi="Lotus Linotype"/>
          <w:color w:val="424142"/>
          <w:sz w:val="32"/>
          <w:szCs w:val="32"/>
        </w:rPr>
        <w:t>.</w:t>
      </w:r>
    </w:p>
    <w:p w14:paraId="57220FF6" w14:textId="77777777" w:rsidR="00C4783C" w:rsidRDefault="00915E2A" w:rsidP="00C4783C">
      <w:pPr>
        <w:pStyle w:val="NormalWeb"/>
        <w:bidi/>
        <w:jc w:val="both"/>
        <w:rPr>
          <w:rFonts w:ascii="Lotus Linotype" w:hAnsi="Lotus Linotype"/>
          <w:color w:val="424142"/>
          <w:sz w:val="32"/>
          <w:szCs w:val="32"/>
          <w:rtl/>
        </w:rPr>
      </w:pPr>
      <w:r>
        <w:rPr>
          <w:rFonts w:ascii="Lotus Linotype" w:hAnsi="Lotus Linotype"/>
          <w:color w:val="424142"/>
          <w:sz w:val="32"/>
          <w:szCs w:val="32"/>
          <w:rtl/>
        </w:rPr>
        <w:t>وقد يرى البعض أن اتباع ترتيب في التفسير يخالف ما عليه المصحف. وقد أثار هذه القضية </w:t>
      </w:r>
      <w:r>
        <w:rPr>
          <w:rFonts w:ascii="Lotus Linotype" w:hAnsi="Lotus Linotype"/>
          <w:color w:val="800000"/>
          <w:sz w:val="32"/>
          <w:szCs w:val="32"/>
          <w:rtl/>
        </w:rPr>
        <w:t>محمد عزة دروزة</w:t>
      </w:r>
      <w:r>
        <w:rPr>
          <w:rFonts w:ascii="Lotus Linotype" w:hAnsi="Lotus Linotype"/>
          <w:color w:val="424142"/>
          <w:sz w:val="32"/>
          <w:szCs w:val="32"/>
          <w:rtl/>
        </w:rPr>
        <w:t xml:space="preserve"> في مقدمة تفسيره، وتساءل عن مشروعية تفسير القرآن بشكل يخالف ما عليه ترتيب المصحف، ولا سيما وهو يرى ضرورة تفسيره بحسب ترتيب نزوله التاريخي؛ </w:t>
      </w:r>
      <w:r>
        <w:rPr>
          <w:rFonts w:ascii="Lotus Linotype" w:hAnsi="Lotus Linotype"/>
          <w:color w:val="424142"/>
          <w:sz w:val="32"/>
          <w:szCs w:val="32"/>
          <w:rtl/>
        </w:rPr>
        <w:lastRenderedPageBreak/>
        <w:t>لما في ذلك متابعة أطوار التنزيل ومراحله بشكل أوضح وأدق. وقد قلَّب دروزة وجوه الرأي حول محاذير هذه الطريقة التي تشترك مع طريقة التفسير الموضوعي في عدم مراعاة الترتيب المصحفي، وخَلُص إلى النتائج الآتية</w:t>
      </w:r>
      <w:r>
        <w:rPr>
          <w:rFonts w:ascii="Lotus Linotype" w:hAnsi="Lotus Linotype"/>
          <w:color w:val="424142"/>
          <w:sz w:val="32"/>
          <w:szCs w:val="32"/>
        </w:rPr>
        <w:t>:</w:t>
      </w:r>
    </w:p>
    <w:p w14:paraId="2264CC55" w14:textId="613BB3CF" w:rsidR="00C4783C" w:rsidRDefault="00915E2A" w:rsidP="00C4783C">
      <w:pPr>
        <w:pStyle w:val="NormalWeb"/>
        <w:numPr>
          <w:ilvl w:val="0"/>
          <w:numId w:val="1"/>
        </w:numPr>
        <w:bidi/>
        <w:jc w:val="both"/>
        <w:rPr>
          <w:rFonts w:ascii="Lotus Linotype" w:hAnsi="Lotus Linotype"/>
          <w:color w:val="424142"/>
          <w:sz w:val="32"/>
          <w:szCs w:val="32"/>
          <w:rtl/>
        </w:rPr>
      </w:pPr>
      <w:r>
        <w:rPr>
          <w:rFonts w:ascii="Lotus Linotype" w:hAnsi="Lotus Linotype"/>
          <w:color w:val="424142"/>
          <w:sz w:val="32"/>
          <w:szCs w:val="32"/>
          <w:rtl/>
        </w:rPr>
        <w:t>إن عملية التفسير ليست المصحف المتعبد بتلاوته، إذن فالمسُّ بقدسية المصحف مسألة مستبعدة، فهي محفوظة؛ إذ إن آيات القرآن هي هي، والكتاب الكريم محفوظ بين دفتيه</w:t>
      </w:r>
      <w:r w:rsidR="00C4783C">
        <w:rPr>
          <w:rFonts w:ascii="Lotus Linotype" w:hAnsi="Lotus Linotype" w:hint="cs"/>
          <w:color w:val="424142"/>
          <w:sz w:val="32"/>
          <w:szCs w:val="32"/>
          <w:rtl/>
        </w:rPr>
        <w:t xml:space="preserve">. </w:t>
      </w:r>
    </w:p>
    <w:p w14:paraId="1F043E75" w14:textId="77777777" w:rsidR="00C4783C" w:rsidRDefault="00915E2A" w:rsidP="00C4783C">
      <w:pPr>
        <w:pStyle w:val="NormalWeb"/>
        <w:numPr>
          <w:ilvl w:val="0"/>
          <w:numId w:val="1"/>
        </w:numPr>
        <w:bidi/>
        <w:jc w:val="both"/>
        <w:rPr>
          <w:rFonts w:ascii="Lotus Linotype" w:hAnsi="Lotus Linotype"/>
          <w:color w:val="424142"/>
          <w:sz w:val="32"/>
          <w:szCs w:val="32"/>
        </w:rPr>
      </w:pPr>
      <w:r>
        <w:rPr>
          <w:rFonts w:ascii="Lotus Linotype" w:hAnsi="Lotus Linotype"/>
          <w:color w:val="424142"/>
          <w:sz w:val="32"/>
          <w:szCs w:val="32"/>
          <w:rtl/>
        </w:rPr>
        <w:t>إن هذا المنهج عملية علمية وفنية في فهم القرآن</w:t>
      </w:r>
      <w:r>
        <w:rPr>
          <w:rFonts w:ascii="Lotus Linotype" w:hAnsi="Lotus Linotype"/>
          <w:color w:val="424142"/>
          <w:sz w:val="32"/>
          <w:szCs w:val="32"/>
        </w:rPr>
        <w:t>.</w:t>
      </w:r>
    </w:p>
    <w:p w14:paraId="0069969E" w14:textId="702A3A1C" w:rsidR="00915E2A" w:rsidRPr="00C4783C" w:rsidRDefault="00915E2A" w:rsidP="00C4783C">
      <w:pPr>
        <w:pStyle w:val="NormalWeb"/>
        <w:numPr>
          <w:ilvl w:val="0"/>
          <w:numId w:val="1"/>
        </w:numPr>
        <w:bidi/>
        <w:jc w:val="both"/>
        <w:rPr>
          <w:rFonts w:ascii="Lotus Linotype" w:hAnsi="Lotus Linotype"/>
          <w:color w:val="424142"/>
          <w:sz w:val="32"/>
          <w:szCs w:val="32"/>
        </w:rPr>
      </w:pPr>
      <w:r w:rsidRPr="00C4783C">
        <w:rPr>
          <w:rFonts w:ascii="Lotus Linotype" w:hAnsi="Lotus Linotype"/>
          <w:color w:val="424142"/>
          <w:sz w:val="32"/>
          <w:szCs w:val="32"/>
          <w:rtl/>
        </w:rPr>
        <w:t>إن ثمة محاولات عديدة لتفسير سور القرآن وآياته بشكل مستقل، ولم يقل أحد من العلماء إن ذلك يمس بقدسية المصحف. وهذه النتائج تنطبق على التفسير الموضوعي</w:t>
      </w:r>
      <w:r w:rsidRPr="00C4783C">
        <w:rPr>
          <w:rFonts w:ascii="Lotus Linotype" w:hAnsi="Lotus Linotype"/>
          <w:color w:val="424142"/>
          <w:sz w:val="32"/>
          <w:szCs w:val="32"/>
        </w:rPr>
        <w:t>.</w:t>
      </w:r>
    </w:p>
    <w:p w14:paraId="6DC3DA3A" w14:textId="328E6EE3" w:rsidR="00915E2A" w:rsidRDefault="00915E2A" w:rsidP="00915E2A">
      <w:pPr>
        <w:pStyle w:val="NormalWeb"/>
        <w:bidi/>
        <w:jc w:val="both"/>
        <w:rPr>
          <w:rFonts w:ascii="Lotus Linotype" w:hAnsi="Lotus Linotype"/>
          <w:color w:val="424142"/>
          <w:sz w:val="32"/>
          <w:szCs w:val="32"/>
        </w:rPr>
      </w:pPr>
      <w:r>
        <w:rPr>
          <w:rFonts w:ascii="Lotus Linotype" w:hAnsi="Lotus Linotype"/>
          <w:color w:val="424142"/>
          <w:sz w:val="32"/>
          <w:szCs w:val="32"/>
          <w:rtl/>
        </w:rPr>
        <w:t xml:space="preserve">وتأسيساً على ما تقدم اعتبر أن منهجه في دراسة القرآن منهجاً مشروعاً، </w:t>
      </w:r>
      <w:r w:rsidR="00C4783C">
        <w:rPr>
          <w:rFonts w:ascii="Lotus Linotype" w:hAnsi="Lotus Linotype"/>
          <w:color w:val="424142"/>
          <w:sz w:val="32"/>
          <w:szCs w:val="32"/>
          <w:rtl/>
        </w:rPr>
        <w:t>ولا سيما أنه عزز ذلك بفتوى عالم</w:t>
      </w:r>
      <w:r>
        <w:rPr>
          <w:rFonts w:ascii="Lotus Linotype" w:hAnsi="Lotus Linotype"/>
          <w:color w:val="424142"/>
          <w:sz w:val="32"/>
          <w:szCs w:val="32"/>
          <w:rtl/>
        </w:rPr>
        <w:t>ين جليلين طلب منهما المشورة، فأذنا له واستحسنا طريقته، وهما</w:t>
      </w:r>
      <w:r>
        <w:rPr>
          <w:rFonts w:ascii="Lotus Linotype" w:hAnsi="Lotus Linotype"/>
          <w:color w:val="424142"/>
          <w:sz w:val="32"/>
          <w:szCs w:val="32"/>
        </w:rPr>
        <w:t>: </w:t>
      </w:r>
      <w:r w:rsidRPr="00C4783C">
        <w:rPr>
          <w:rFonts w:ascii="Lotus Linotype" w:hAnsi="Lotus Linotype"/>
          <w:color w:val="424142"/>
          <w:sz w:val="32"/>
          <w:szCs w:val="32"/>
          <w:rtl/>
        </w:rPr>
        <w:t>أبو اليسر عابدين</w:t>
      </w:r>
      <w:r>
        <w:rPr>
          <w:rFonts w:ascii="Lotus Linotype" w:hAnsi="Lotus Linotype"/>
          <w:color w:val="424142"/>
          <w:sz w:val="32"/>
          <w:szCs w:val="32"/>
          <w:rtl/>
        </w:rPr>
        <w:t> مفتي سوريا، والشيخ </w:t>
      </w:r>
      <w:r w:rsidRPr="00C4783C">
        <w:rPr>
          <w:rFonts w:ascii="Lotus Linotype" w:hAnsi="Lotus Linotype"/>
          <w:color w:val="424142"/>
          <w:sz w:val="32"/>
          <w:szCs w:val="32"/>
          <w:rtl/>
        </w:rPr>
        <w:t>عبد الفتاح أبو غدة</w:t>
      </w:r>
      <w:r>
        <w:rPr>
          <w:rFonts w:ascii="Lotus Linotype" w:hAnsi="Lotus Linotype"/>
          <w:color w:val="424142"/>
          <w:sz w:val="32"/>
          <w:szCs w:val="32"/>
        </w:rPr>
        <w:t>.</w:t>
      </w:r>
    </w:p>
    <w:p w14:paraId="0D97D112" w14:textId="77777777" w:rsidR="00915E2A" w:rsidRDefault="00915E2A" w:rsidP="00915E2A">
      <w:pPr>
        <w:pStyle w:val="NormalWeb"/>
        <w:bidi/>
        <w:jc w:val="both"/>
        <w:rPr>
          <w:rFonts w:ascii="Lotus Linotype" w:hAnsi="Lotus Linotype"/>
          <w:color w:val="424142"/>
          <w:sz w:val="32"/>
          <w:szCs w:val="32"/>
        </w:rPr>
      </w:pPr>
      <w:r>
        <w:rPr>
          <w:rFonts w:ascii="Lotus Linotype" w:hAnsi="Lotus Linotype"/>
          <w:color w:val="424142"/>
          <w:sz w:val="32"/>
          <w:szCs w:val="32"/>
          <w:rtl/>
        </w:rPr>
        <w:t>فإذا أضيف إلى ذلك تشجيع كثير من العلماء لهذا النهج في التفسير، بل ومحاولاتهم التطبيقية فيه، تكون مسألة شرعية التفسير الموضوعي قد حُسمت؛ إذ استندت إلى أسس قوية، وأدلة معتبرة</w:t>
      </w:r>
      <w:r>
        <w:rPr>
          <w:rFonts w:ascii="Lotus Linotype" w:hAnsi="Lotus Linotype"/>
          <w:color w:val="424142"/>
          <w:sz w:val="32"/>
          <w:szCs w:val="32"/>
        </w:rPr>
        <w:t>.</w:t>
      </w:r>
    </w:p>
    <w:p w14:paraId="0E4586C6" w14:textId="51F5701D" w:rsidR="003D7FB7" w:rsidRPr="00915E2A" w:rsidRDefault="003D7FB7" w:rsidP="00915E2A">
      <w:pPr>
        <w:bidi/>
        <w:rPr>
          <w:lang w:bidi="ar-EG"/>
        </w:rPr>
      </w:pPr>
      <w:bookmarkStart w:id="0" w:name="_GoBack"/>
      <w:bookmarkEnd w:id="0"/>
    </w:p>
    <w:sectPr w:rsidR="003D7FB7" w:rsidRPr="00915E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Lotus Linotype">
    <w:altName w:val="Cambria"/>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D1760E"/>
    <w:multiLevelType w:val="hybridMultilevel"/>
    <w:tmpl w:val="FA148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D71"/>
    <w:rsid w:val="003D7FB7"/>
    <w:rsid w:val="00652D71"/>
    <w:rsid w:val="007A7ED1"/>
    <w:rsid w:val="00915E2A"/>
    <w:rsid w:val="00AD552F"/>
    <w:rsid w:val="00BD6284"/>
    <w:rsid w:val="00C34B33"/>
    <w:rsid w:val="00C478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E491A"/>
  <w15:docId w15:val="{DE8F2F14-48B4-4616-8D2A-14997EF29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D7FB7"/>
    <w:pPr>
      <w:spacing w:before="100" w:beforeAutospacing="1" w:after="100" w:afterAutospacing="1" w:line="240" w:lineRule="auto"/>
      <w:outlineLvl w:val="1"/>
    </w:pPr>
    <w:rPr>
      <w:rFonts w:ascii="Times New Roman" w:eastAsia="Times New Roman" w:hAnsi="Times New Roman" w:cs="Times New Roman"/>
      <w:b/>
      <w:bCs/>
      <w:sz w:val="36"/>
      <w:szCs w:val="3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D7FB7"/>
    <w:rPr>
      <w:rFonts w:ascii="Times New Roman" w:eastAsia="Times New Roman" w:hAnsi="Times New Roman" w:cs="Times New Roman"/>
      <w:b/>
      <w:bCs/>
      <w:sz w:val="36"/>
      <w:szCs w:val="36"/>
      <w:lang w:eastAsia="ja-JP"/>
    </w:rPr>
  </w:style>
  <w:style w:type="paragraph" w:styleId="NormalWeb">
    <w:name w:val="Normal (Web)"/>
    <w:basedOn w:val="Normal"/>
    <w:uiPriority w:val="99"/>
    <w:semiHidden/>
    <w:unhideWhenUsed/>
    <w:rsid w:val="00915E2A"/>
    <w:pPr>
      <w:spacing w:before="100" w:beforeAutospacing="1" w:after="100" w:afterAutospacing="1" w:line="240" w:lineRule="auto"/>
    </w:pPr>
    <w:rPr>
      <w:rFonts w:ascii="Times New Roman" w:eastAsia="Times New Roman" w:hAnsi="Times New Roman" w:cs="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8212473">
      <w:bodyDiv w:val="1"/>
      <w:marLeft w:val="0"/>
      <w:marRight w:val="0"/>
      <w:marTop w:val="0"/>
      <w:marBottom w:val="0"/>
      <w:divBdr>
        <w:top w:val="none" w:sz="0" w:space="0" w:color="auto"/>
        <w:left w:val="none" w:sz="0" w:space="0" w:color="auto"/>
        <w:bottom w:val="none" w:sz="0" w:space="0" w:color="auto"/>
        <w:right w:val="none" w:sz="0" w:space="0" w:color="auto"/>
      </w:divBdr>
    </w:div>
    <w:div w:id="805243807">
      <w:bodyDiv w:val="1"/>
      <w:marLeft w:val="0"/>
      <w:marRight w:val="0"/>
      <w:marTop w:val="0"/>
      <w:marBottom w:val="0"/>
      <w:divBdr>
        <w:top w:val="none" w:sz="0" w:space="0" w:color="auto"/>
        <w:left w:val="none" w:sz="0" w:space="0" w:color="auto"/>
        <w:bottom w:val="none" w:sz="0" w:space="0" w:color="auto"/>
        <w:right w:val="none" w:sz="0" w:space="0" w:color="auto"/>
      </w:divBdr>
      <w:divsChild>
        <w:div w:id="497117969">
          <w:marLeft w:val="0"/>
          <w:marRight w:val="0"/>
          <w:marTop w:val="0"/>
          <w:marBottom w:val="0"/>
          <w:divBdr>
            <w:top w:val="none" w:sz="0" w:space="0" w:color="auto"/>
            <w:left w:val="none" w:sz="0" w:space="0" w:color="auto"/>
            <w:bottom w:val="none" w:sz="0" w:space="0" w:color="auto"/>
            <w:right w:val="none" w:sz="0" w:space="0" w:color="auto"/>
          </w:divBdr>
        </w:div>
      </w:divsChild>
    </w:div>
    <w:div w:id="1026058289">
      <w:bodyDiv w:val="1"/>
      <w:marLeft w:val="0"/>
      <w:marRight w:val="0"/>
      <w:marTop w:val="0"/>
      <w:marBottom w:val="0"/>
      <w:divBdr>
        <w:top w:val="none" w:sz="0" w:space="0" w:color="auto"/>
        <w:left w:val="none" w:sz="0" w:space="0" w:color="auto"/>
        <w:bottom w:val="none" w:sz="0" w:space="0" w:color="auto"/>
        <w:right w:val="none" w:sz="0" w:space="0" w:color="auto"/>
      </w:divBdr>
      <w:divsChild>
        <w:div w:id="1092824515">
          <w:marLeft w:val="0"/>
          <w:marRight w:val="0"/>
          <w:marTop w:val="0"/>
          <w:marBottom w:val="0"/>
          <w:divBdr>
            <w:top w:val="none" w:sz="0" w:space="0" w:color="auto"/>
            <w:left w:val="none" w:sz="0" w:space="0" w:color="auto"/>
            <w:bottom w:val="none" w:sz="0" w:space="0" w:color="auto"/>
            <w:right w:val="none" w:sz="0" w:space="0" w:color="auto"/>
          </w:divBdr>
        </w:div>
      </w:divsChild>
    </w:div>
    <w:div w:id="1696031572">
      <w:bodyDiv w:val="1"/>
      <w:marLeft w:val="0"/>
      <w:marRight w:val="0"/>
      <w:marTop w:val="0"/>
      <w:marBottom w:val="0"/>
      <w:divBdr>
        <w:top w:val="none" w:sz="0" w:space="0" w:color="auto"/>
        <w:left w:val="none" w:sz="0" w:space="0" w:color="auto"/>
        <w:bottom w:val="none" w:sz="0" w:space="0" w:color="auto"/>
        <w:right w:val="none" w:sz="0" w:space="0" w:color="auto"/>
      </w:divBdr>
      <w:divsChild>
        <w:div w:id="836726626">
          <w:marLeft w:val="0"/>
          <w:marRight w:val="0"/>
          <w:marTop w:val="0"/>
          <w:marBottom w:val="0"/>
          <w:divBdr>
            <w:top w:val="none" w:sz="0" w:space="0" w:color="auto"/>
            <w:left w:val="none" w:sz="0" w:space="0" w:color="auto"/>
            <w:bottom w:val="none" w:sz="0" w:space="0" w:color="auto"/>
            <w:right w:val="none" w:sz="0" w:space="0" w:color="auto"/>
          </w:divBdr>
        </w:div>
      </w:divsChild>
    </w:div>
    <w:div w:id="2130121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407</TotalTime>
  <Pages>2</Pages>
  <Words>465</Words>
  <Characters>2654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Al-Andalus Group LTD</cp:lastModifiedBy>
  <cp:revision>6</cp:revision>
  <dcterms:created xsi:type="dcterms:W3CDTF">2021-05-02T22:19:00Z</dcterms:created>
  <dcterms:modified xsi:type="dcterms:W3CDTF">2024-02-28T15:17:00Z</dcterms:modified>
</cp:coreProperties>
</file>